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ind w:left="420"/>
        <w:rPr>
          <w:rFonts w:hint="default" w:ascii="Times New Roman" w:hAnsi="Times New Roman" w:eastAsia="宋体"/>
          <w:sz w:val="30"/>
          <w:szCs w:val="4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小标宋"/>
          <w:spacing w:val="-4"/>
          <w:sz w:val="44"/>
          <w:szCs w:val="44"/>
        </w:rPr>
      </w:pPr>
      <w:r>
        <w:rPr>
          <w:rFonts w:ascii="Times New Roman" w:hAnsi="Times New Roman" w:eastAsia="小标宋"/>
          <w:spacing w:val="-4"/>
          <w:sz w:val="44"/>
          <w:szCs w:val="44"/>
        </w:rPr>
        <w:t>中级知识产权职称考试考前培训</w:t>
      </w:r>
      <w:r>
        <w:rPr>
          <w:rFonts w:hint="default" w:ascii="Times New Roman" w:hAnsi="Times New Roman" w:eastAsia="小标宋"/>
          <w:spacing w:val="-4"/>
          <w:sz w:val="44"/>
          <w:szCs w:val="44"/>
        </w:rPr>
        <w:t>班日程安排表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ind w:left="420"/>
        <w:rPr>
          <w:rFonts w:hint="default" w:ascii="Times New Roman" w:hAnsi="Times New Roman" w:eastAsia="宋体"/>
          <w:spacing w:val="0"/>
          <w:sz w:val="30"/>
          <w:szCs w:val="44"/>
        </w:rPr>
      </w:pPr>
    </w:p>
    <w:tbl>
      <w:tblPr>
        <w:tblStyle w:val="4"/>
        <w:tblW w:w="5369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770"/>
        <w:gridCol w:w="2701"/>
        <w:gridCol w:w="32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  <w:jc w:val="center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黑体" w:eastAsia="黑体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黑体" w:eastAsia="黑体"/>
                <w:kern w:val="0"/>
                <w:sz w:val="28"/>
                <w:szCs w:val="28"/>
                <w:lang w:bidi="ar"/>
              </w:rPr>
              <w:t>授课人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11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9月16日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星期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六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9:00-12:00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经济学基础</w:t>
            </w:r>
          </w:p>
        </w:tc>
        <w:tc>
          <w:tcPr>
            <w:tcW w:w="3402" w:type="dxa"/>
            <w:vMerge w:val="restart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史福厚（广东金融学院信用管理学院副院长、信用管理研究所所长。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获得省部级科研奖励二等奖一项、三等奖一项、优秀奖和科技创新奖5项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511" w:type="dxa"/>
            <w:vMerge w:val="continue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58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:3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:3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835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货币与金融</w:t>
            </w:r>
          </w:p>
        </w:tc>
        <w:tc>
          <w:tcPr>
            <w:tcW w:w="3402" w:type="dxa"/>
            <w:vMerge w:val="continue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511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9月17日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星期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9:00-12:00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商标申请、审查与注册，商标使用，商标专用权的保护</w:t>
            </w:r>
          </w:p>
        </w:tc>
        <w:tc>
          <w:tcPr>
            <w:tcW w:w="3402" w:type="dxa"/>
            <w:vMerge w:val="restart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李正华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（法学博士，中山大学法学院民商法研究所副教授、硕士研究生导师。国家“百千万知识产权人才工程”百名高层次人才培养人选）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11" w:type="dxa"/>
            <w:vMerge w:val="continue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58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:3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0-16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:3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835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著作权，地理标志</w:t>
            </w:r>
          </w:p>
        </w:tc>
        <w:tc>
          <w:tcPr>
            <w:tcW w:w="3402" w:type="dxa"/>
            <w:vMerge w:val="continue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1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9月23日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pacing w:line="60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hAnsi="Times New Roman" w:eastAsia="仿宋_GB2312"/>
                <w:bCs w:val="0"/>
                <w:kern w:val="0"/>
                <w:sz w:val="28"/>
                <w:szCs w:val="28"/>
                <w:lang w:bidi="ar"/>
              </w:rPr>
              <w:t>星期</w:t>
            </w:r>
            <w:r>
              <w:rPr>
                <w:rFonts w:hint="default" w:hAnsi="Times New Roman" w:eastAsia="仿宋_GB2312"/>
                <w:bCs w:val="0"/>
                <w:kern w:val="0"/>
                <w:sz w:val="28"/>
                <w:szCs w:val="28"/>
                <w:lang w:bidi="ar"/>
              </w:rPr>
              <w:t>六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9:00-12:00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z w:val="28"/>
                <w:szCs w:val="28"/>
              </w:rPr>
              <w:t>知识产权基础，专利申请、授权与确权，专利保护，专利运用；其他类型知识产权，商业秘密</w:t>
            </w:r>
          </w:p>
        </w:tc>
        <w:tc>
          <w:tcPr>
            <w:tcW w:w="3402" w:type="dxa"/>
            <w:vMerge w:val="restart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谢琳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（中山大学法学院民商法研究所副教授、硕士生导师。曾获香港中文大学全球奖学金、香港政府博士研究生全额奖学金）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511" w:type="dxa"/>
            <w:vMerge w:val="continue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58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:3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:3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835" w:type="dxa"/>
            <w:vMerge w:val="continue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402" w:type="dxa"/>
            <w:vMerge w:val="continue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11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9月24日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pacing w:line="600" w:lineRule="exact"/>
              <w:jc w:val="center"/>
              <w:outlineLvl w:val="0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Ansi="Times New Roman" w:eastAsia="仿宋_GB2312"/>
                <w:bCs w:val="0"/>
                <w:kern w:val="0"/>
                <w:sz w:val="28"/>
                <w:szCs w:val="28"/>
                <w:lang w:bidi="ar"/>
              </w:rPr>
              <w:t>星期</w:t>
            </w:r>
            <w:r>
              <w:rPr>
                <w:rFonts w:hint="eastAsia" w:eastAsia="仿宋_GB2312"/>
                <w:bCs w:val="0"/>
                <w:kern w:val="0"/>
                <w:sz w:val="28"/>
                <w:szCs w:val="28"/>
                <w:lang w:eastAsia="zh-CN" w:bidi="ar"/>
              </w:rPr>
              <w:t>日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9:00-12:00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统计，会计，财政</w:t>
            </w:r>
          </w:p>
        </w:tc>
        <w:tc>
          <w:tcPr>
            <w:tcW w:w="3402" w:type="dxa"/>
            <w:vMerge w:val="restart"/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史福厚（广东金融学院信用管理学院副院长、信用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管理研究所所长。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获得省部级科研奖励二等奖一项、三等奖一项、优秀奖和科技创新奖5项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511" w:type="dxa"/>
            <w:vMerge w:val="continue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58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:3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0-16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28"/>
                <w:lang w:bidi="ar"/>
              </w:rPr>
              <w:t>:3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835" w:type="dxa"/>
            <w:tcBorders>
              <w:bottom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  <w:t>法律</w:t>
            </w:r>
          </w:p>
        </w:tc>
        <w:tc>
          <w:tcPr>
            <w:tcW w:w="3402" w:type="dxa"/>
            <w:vMerge w:val="continue"/>
            <w:tcBorders>
              <w:bottom w:val="single" w:color="000000" w:sz="8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pStyle w:val="3"/>
        <w:widowControl/>
        <w:spacing w:after="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备注：课程如有变化，另行通知。</w:t>
      </w:r>
    </w:p>
    <w:p>
      <w:pPr>
        <w:widowControl/>
        <w:spacing w:line="600" w:lineRule="exact"/>
        <w:rPr>
          <w:rFonts w:hint="default"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Y2U5YjIwOTg5ZmFlNjM0MzEyMzkyNWIxYWU1ZDQifQ=="/>
  </w:docVars>
  <w:rsids>
    <w:rsidRoot w:val="5FBC64F0"/>
    <w:rsid w:val="3F5D3D31"/>
    <w:rsid w:val="5FBC64F0"/>
    <w:rsid w:val="78A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仿宋" w:hAnsi="仿宋" w:eastAsia="仿宋" w:cs="仿宋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496</Characters>
  <Lines>0</Lines>
  <Paragraphs>0</Paragraphs>
  <TotalTime>0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2023-09-01T03:23:00Z</dcterms:created>
  <dc:creator>叮当</dc:creator>
  <cp:lastModifiedBy>叮当</cp:lastModifiedBy>
  <dcterms:modified xsi:type="dcterms:W3CDTF">2023-09-01T08:50:03Z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BDEA570CBB4242B4B5C79F48EB7F889E_13</vt:lpwstr>
  </property>
</Properties>
</file>