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cs="黑体"/>
          <w:szCs w:val="32"/>
        </w:rPr>
      </w:pPr>
    </w:p>
    <w:p>
      <w:pPr>
        <w:spacing w:line="600" w:lineRule="exact"/>
        <w:jc w:val="center"/>
        <w:rPr>
          <w:rFonts w:eastAsia="方正小标宋_GBK" w:cs="方正小标宋_GBK"/>
          <w:sz w:val="44"/>
          <w:szCs w:val="44"/>
        </w:rPr>
      </w:pPr>
      <w:r>
        <w:rPr>
          <w:rFonts w:hint="eastAsia" w:eastAsia="方正小标宋_GBK" w:cs="方正小标宋_GBK"/>
          <w:sz w:val="44"/>
          <w:szCs w:val="44"/>
        </w:rPr>
        <w:t>202</w:t>
      </w:r>
      <w:r>
        <w:rPr>
          <w:rFonts w:hint="eastAsia" w:eastAsia="方正小标宋_GBK" w:cs="方正小标宋_GBK"/>
          <w:sz w:val="44"/>
          <w:szCs w:val="44"/>
          <w:lang w:val="en-US" w:eastAsia="zh-CN"/>
        </w:rPr>
        <w:t>6</w:t>
      </w:r>
      <w:r>
        <w:rPr>
          <w:rFonts w:hint="eastAsia" w:eastAsia="方正小标宋_GBK" w:cs="方正小标宋_GBK"/>
          <w:sz w:val="44"/>
          <w:szCs w:val="44"/>
        </w:rPr>
        <w:t>年度广东省知识产权专业技术人员</w:t>
      </w:r>
    </w:p>
    <w:p>
      <w:pPr>
        <w:spacing w:line="600" w:lineRule="exact"/>
        <w:jc w:val="center"/>
        <w:rPr>
          <w:b/>
          <w:bCs/>
          <w:sz w:val="40"/>
          <w:szCs w:val="40"/>
        </w:rPr>
      </w:pPr>
      <w:r>
        <w:rPr>
          <w:rFonts w:hint="eastAsia" w:eastAsia="方正小标宋_GBK" w:cs="方正小标宋_GBK"/>
          <w:sz w:val="44"/>
          <w:szCs w:val="44"/>
        </w:rPr>
        <w:t>继续教育专业科目学习指南</w:t>
      </w:r>
    </w:p>
    <w:p>
      <w:pPr>
        <w:spacing w:line="600" w:lineRule="exact"/>
        <w:rPr>
          <w:rFonts w:eastAsia="仿宋" w:cs="仿宋"/>
          <w:szCs w:val="32"/>
        </w:rPr>
      </w:pPr>
    </w:p>
    <w:p>
      <w:pPr>
        <w:spacing w:line="600" w:lineRule="exact"/>
        <w:ind w:firstLine="640" w:firstLineChars="200"/>
        <w:rPr>
          <w:rFonts w:eastAsia="仿宋" w:cs="仿宋"/>
          <w:szCs w:val="32"/>
        </w:rPr>
      </w:pPr>
      <w:r>
        <w:rPr>
          <w:rFonts w:hint="eastAsia" w:cs="仿宋_GB2312"/>
          <w:szCs w:val="32"/>
        </w:rPr>
        <w:t>为进一步完善和提高我省知识产权专业技术人员的知识结构、研究和自主创新能力、专业理论水平及其综合素养，根据《广东省专业技术人员继续教育条例》和《广东省人力资源和社会保障厅关于进一步做好我省专业技术人员继续教育有关工作的意见》（粤人社规〔2023〕19号）有关要求，结合本行业实际，现制定并发布知识产权专业技术人员继续教育专业科目学习指南。</w:t>
      </w:r>
    </w:p>
    <w:p>
      <w:pPr>
        <w:snapToGrid w:val="0"/>
        <w:spacing w:line="600" w:lineRule="exact"/>
        <w:ind w:firstLine="640" w:firstLineChars="200"/>
        <w:rPr>
          <w:rFonts w:eastAsia="黑体" w:cs="黑体"/>
          <w:szCs w:val="32"/>
        </w:rPr>
      </w:pPr>
      <w:r>
        <w:rPr>
          <w:rFonts w:hint="eastAsia" w:eastAsia="黑体" w:cs="黑体"/>
          <w:szCs w:val="32"/>
        </w:rPr>
        <w:t>一、学习内容</w:t>
      </w:r>
    </w:p>
    <w:p>
      <w:pPr>
        <w:autoSpaceDN w:val="0"/>
        <w:spacing w:line="600" w:lineRule="exact"/>
        <w:ind w:firstLine="640" w:firstLineChars="200"/>
        <w:rPr>
          <w:rFonts w:cs="仿宋_GB2312"/>
          <w:szCs w:val="32"/>
        </w:rPr>
      </w:pPr>
      <w:r>
        <w:rPr>
          <w:rFonts w:hint="eastAsia" w:cs="仿宋_GB2312"/>
          <w:szCs w:val="32"/>
        </w:rPr>
        <w:t>围绕省委、省政府和全省知识产权系统工作重点，结合知识产权行业发展趋势，按照深化改革、强化知识产权保护等要求，经研究，确定202</w:t>
      </w:r>
      <w:r>
        <w:rPr>
          <w:rFonts w:hint="eastAsia" w:cs="仿宋_GB2312"/>
          <w:szCs w:val="32"/>
          <w:lang w:val="en-US" w:eastAsia="zh-CN"/>
        </w:rPr>
        <w:t>6</w:t>
      </w:r>
      <w:r>
        <w:rPr>
          <w:rFonts w:hint="eastAsia" w:cs="仿宋_GB2312"/>
          <w:szCs w:val="32"/>
        </w:rPr>
        <w:t>年度知识产权专业技术人员继续教育专业科目学习</w:t>
      </w:r>
      <w:r>
        <w:rPr>
          <w:rFonts w:hint="eastAsia" w:cs="仿宋_GB2312"/>
          <w:szCs w:val="32"/>
          <w:lang w:eastAsia="zh-CN"/>
        </w:rPr>
        <w:t>内容</w:t>
      </w:r>
      <w:r>
        <w:rPr>
          <w:rFonts w:hint="eastAsia" w:cs="仿宋_GB2312"/>
          <w:szCs w:val="32"/>
        </w:rPr>
        <w:t>为：</w:t>
      </w:r>
    </w:p>
    <w:p>
      <w:pPr>
        <w:spacing w:line="600" w:lineRule="exact"/>
        <w:ind w:firstLine="640" w:firstLineChars="200"/>
        <w:rPr>
          <w:rFonts w:cs="仿宋_GB2312"/>
          <w:szCs w:val="32"/>
        </w:rPr>
      </w:pPr>
      <w:r>
        <w:rPr>
          <w:rFonts w:cs="仿宋_GB2312"/>
          <w:szCs w:val="32"/>
        </w:rPr>
        <w:t>（</w:t>
      </w:r>
      <w:r>
        <w:rPr>
          <w:rFonts w:hint="eastAsia" w:cs="仿宋_GB2312"/>
          <w:szCs w:val="32"/>
        </w:rPr>
        <w:t>一）知识产权基础。包括知识产权制度概述、知识产权的取得与保护、知识产权的管理与运用、知识产权公共服务、知识产权的国际保护制度。</w:t>
      </w:r>
    </w:p>
    <w:p>
      <w:pPr>
        <w:spacing w:line="600" w:lineRule="exact"/>
        <w:ind w:firstLine="640" w:firstLineChars="200"/>
        <w:rPr>
          <w:rFonts w:cs="仿宋_GB2312"/>
          <w:szCs w:val="32"/>
        </w:rPr>
      </w:pPr>
      <w:r>
        <w:rPr>
          <w:rFonts w:cs="仿宋_GB2312"/>
          <w:szCs w:val="32"/>
        </w:rPr>
        <w:t>（</w:t>
      </w:r>
      <w:r>
        <w:rPr>
          <w:rFonts w:hint="eastAsia" w:cs="仿宋_GB2312"/>
          <w:szCs w:val="32"/>
        </w:rPr>
        <w:t>二）专利</w:t>
      </w:r>
      <w:r>
        <w:rPr>
          <w:rFonts w:cs="仿宋_GB2312"/>
          <w:szCs w:val="32"/>
        </w:rPr>
        <w:t>。</w:t>
      </w:r>
      <w:r>
        <w:rPr>
          <w:rFonts w:hint="eastAsia" w:cs="仿宋_GB2312"/>
          <w:szCs w:val="32"/>
        </w:rPr>
        <w:t>包括专利申请、专利授权与确认、专利保护、专利运用。</w:t>
      </w:r>
    </w:p>
    <w:p>
      <w:pPr>
        <w:spacing w:line="600" w:lineRule="exact"/>
        <w:ind w:firstLine="640" w:firstLineChars="200"/>
        <w:rPr>
          <w:rFonts w:cs="仿宋_GB2312"/>
          <w:szCs w:val="32"/>
        </w:rPr>
      </w:pPr>
      <w:r>
        <w:rPr>
          <w:rFonts w:cs="仿宋_GB2312"/>
          <w:szCs w:val="32"/>
        </w:rPr>
        <w:t>（</w:t>
      </w:r>
      <w:r>
        <w:rPr>
          <w:rFonts w:hint="eastAsia" w:cs="仿宋_GB2312"/>
          <w:szCs w:val="32"/>
        </w:rPr>
        <w:t>三）商标。包括商标申请、商标审查与注册、商标的管理与使用、注册商标专用权的保护。</w:t>
      </w:r>
    </w:p>
    <w:p>
      <w:pPr>
        <w:spacing w:line="600" w:lineRule="exact"/>
        <w:ind w:firstLine="640" w:firstLineChars="200"/>
        <w:rPr>
          <w:rFonts w:cs="仿宋_GB2312"/>
          <w:szCs w:val="32"/>
        </w:rPr>
      </w:pPr>
      <w:r>
        <w:rPr>
          <w:rFonts w:hint="eastAsia" w:cs="仿宋_GB2312"/>
          <w:szCs w:val="32"/>
        </w:rPr>
        <w:t>（四）地理标志。包括地理标志的申请、地理标志的保护、地理标志的国际保护。</w:t>
      </w:r>
    </w:p>
    <w:p>
      <w:pPr>
        <w:spacing w:line="600" w:lineRule="exact"/>
        <w:ind w:firstLine="640" w:firstLineChars="200"/>
        <w:rPr>
          <w:rFonts w:hint="eastAsia" w:cs="仿宋_GB2312"/>
          <w:szCs w:val="32"/>
        </w:rPr>
      </w:pPr>
      <w:r>
        <w:rPr>
          <w:rFonts w:cs="仿宋_GB2312"/>
          <w:szCs w:val="32"/>
        </w:rPr>
        <w:t>（</w:t>
      </w:r>
      <w:r>
        <w:rPr>
          <w:rFonts w:hint="eastAsia" w:cs="仿宋_GB2312"/>
          <w:szCs w:val="32"/>
        </w:rPr>
        <w:t>五）其他类型知识产权。包括商业秘密、集成电路布图设计、植物新品种权。</w:t>
      </w:r>
    </w:p>
    <w:p>
      <w:pPr>
        <w:spacing w:line="600" w:lineRule="exact"/>
        <w:ind w:firstLine="640" w:firstLineChars="200"/>
        <w:rPr>
          <w:rFonts w:eastAsia="黑体" w:cs="黑体"/>
          <w:szCs w:val="32"/>
        </w:rPr>
      </w:pPr>
      <w:r>
        <w:rPr>
          <w:rFonts w:hint="eastAsia" w:eastAsia="黑体" w:cs="黑体"/>
          <w:szCs w:val="32"/>
        </w:rPr>
        <w:t>二、学时要求</w:t>
      </w:r>
    </w:p>
    <w:p>
      <w:pPr>
        <w:snapToGrid w:val="0"/>
        <w:spacing w:line="600" w:lineRule="exact"/>
        <w:ind w:firstLine="640" w:firstLineChars="200"/>
        <w:rPr>
          <w:rFonts w:cs="仿宋_GB2312"/>
          <w:szCs w:val="32"/>
        </w:rPr>
      </w:pPr>
      <w:r>
        <w:rPr>
          <w:rFonts w:hint="eastAsia" w:cs="仿宋_GB2312"/>
          <w:szCs w:val="32"/>
        </w:rPr>
        <w:t>202</w:t>
      </w:r>
      <w:r>
        <w:rPr>
          <w:rFonts w:hint="eastAsia" w:cs="仿宋_GB2312"/>
          <w:szCs w:val="32"/>
          <w:lang w:val="en-US" w:eastAsia="zh-CN"/>
        </w:rPr>
        <w:t>6</w:t>
      </w:r>
      <w:r>
        <w:rPr>
          <w:rFonts w:hint="eastAsia" w:cs="仿宋_GB2312"/>
          <w:szCs w:val="32"/>
        </w:rPr>
        <w:t>年度</w:t>
      </w:r>
      <w:r>
        <w:rPr>
          <w:rFonts w:hint="eastAsia" w:cs="仿宋_GB2312"/>
          <w:szCs w:val="32"/>
          <w:lang w:val="en-US" w:eastAsia="zh-CN"/>
        </w:rPr>
        <w:t>我省</w:t>
      </w:r>
      <w:r>
        <w:rPr>
          <w:rFonts w:hint="eastAsia" w:cs="仿宋_GB2312"/>
          <w:szCs w:val="32"/>
        </w:rPr>
        <w:t>知识产权专业技术人员需完成专业科目不少于42个学时的学习任务。</w:t>
      </w:r>
    </w:p>
    <w:p>
      <w:pPr>
        <w:snapToGrid w:val="0"/>
        <w:spacing w:line="600" w:lineRule="exact"/>
        <w:ind w:firstLine="640" w:firstLineChars="200"/>
        <w:rPr>
          <w:rFonts w:eastAsia="黑体" w:cs="黑体"/>
          <w:szCs w:val="32"/>
        </w:rPr>
      </w:pPr>
      <w:r>
        <w:rPr>
          <w:rFonts w:hint="eastAsia" w:eastAsia="黑体" w:cs="黑体"/>
          <w:szCs w:val="32"/>
        </w:rPr>
        <w:t>三、学习形式</w:t>
      </w:r>
    </w:p>
    <w:p>
      <w:pPr>
        <w:numPr>
          <w:ilvl w:val="0"/>
          <w:numId w:val="1"/>
        </w:numPr>
        <w:spacing w:line="600" w:lineRule="exact"/>
        <w:ind w:firstLine="640" w:firstLineChars="200"/>
        <w:jc w:val="left"/>
        <w:rPr>
          <w:rFonts w:cs="仿宋_GB2312"/>
          <w:spacing w:val="-6"/>
          <w:szCs w:val="32"/>
        </w:rPr>
      </w:pPr>
      <w:r>
        <w:rPr>
          <w:rFonts w:hint="eastAsia" w:cs="仿宋_GB2312"/>
          <w:szCs w:val="32"/>
        </w:rPr>
        <w:t>可参加由各级知识产权主管部门（行业组织）和施教机构组织的培训课程。有条件的法人单位经同级行业主管部门同意，</w:t>
      </w:r>
      <w:r>
        <w:rPr>
          <w:rFonts w:hint="eastAsia" w:cs="仿宋_GB2312"/>
          <w:spacing w:val="-6"/>
          <w:szCs w:val="32"/>
        </w:rPr>
        <w:t>可自主组织开展培训或委托施教机构开展培训。</w:t>
      </w:r>
    </w:p>
    <w:p>
      <w:pPr>
        <w:numPr>
          <w:ilvl w:val="0"/>
          <w:numId w:val="1"/>
        </w:numPr>
        <w:spacing w:line="600" w:lineRule="exact"/>
        <w:ind w:firstLine="616" w:firstLineChars="200"/>
        <w:jc w:val="left"/>
        <w:rPr>
          <w:rFonts w:hint="eastAsia" w:cs="仿宋_GB2312"/>
          <w:spacing w:val="-6"/>
          <w:szCs w:val="32"/>
        </w:rPr>
      </w:pPr>
      <w:r>
        <w:rPr>
          <w:rFonts w:hint="eastAsia" w:cs="仿宋_GB2312"/>
          <w:spacing w:val="-6"/>
          <w:szCs w:val="32"/>
        </w:rPr>
        <w:t>可参加网络远程教育学习相应的知识产权专业课程，专业技术人员完成学习后，凭借远程网站出具的学时证明，可在“广东省专业技术人员继续教育管理系统”申报专业科目学时。</w:t>
      </w:r>
    </w:p>
    <w:p>
      <w:pPr>
        <w:spacing w:line="600" w:lineRule="exact"/>
        <w:ind w:left="640"/>
        <w:rPr>
          <w:rFonts w:eastAsia="黑体" w:cs="黑体"/>
          <w:szCs w:val="32"/>
        </w:rPr>
      </w:pPr>
      <w:r>
        <w:rPr>
          <w:rFonts w:hint="eastAsia" w:eastAsia="黑体" w:cs="黑体"/>
          <w:szCs w:val="32"/>
        </w:rPr>
        <w:t>四、有关要求</w:t>
      </w:r>
    </w:p>
    <w:p>
      <w:pPr>
        <w:spacing w:line="600" w:lineRule="exact"/>
        <w:ind w:firstLine="640" w:firstLineChars="200"/>
      </w:pPr>
      <w:r>
        <w:rPr>
          <w:rFonts w:hint="eastAsia" w:cs="仿宋_GB2312"/>
          <w:szCs w:val="32"/>
        </w:rPr>
        <w:t>施教机构和用人单位开展培训应于开班前30日内在“广东省专业技术人员继续教育管理系统”填报办班计划，办班计划由同级知识产权主管部门审核后，报同级人力资源社会保障部门备案。</w:t>
      </w:r>
      <w:r>
        <w:rPr>
          <w:rFonts w:hint="eastAsia" w:eastAsia="仿宋" w:cs="仿宋"/>
          <w:szCs w:val="32"/>
        </w:rPr>
        <w:t>各级知识产权继续教育施教机构要合理制订培训计划，提高培训质量，为我省知识产权专业技术人员参加继续教育学习提供优质服务。</w:t>
      </w:r>
      <w:bookmarkStart w:id="0" w:name="_GoBack"/>
      <w:bookmarkEnd w:id="0"/>
    </w:p>
    <w:sectPr>
      <w:headerReference r:id="rId5" w:type="first"/>
      <w:footerReference r:id="rId7" w:type="first"/>
      <w:headerReference r:id="rId3" w:type="default"/>
      <w:headerReference r:id="rId4" w:type="even"/>
      <w:footerReference r:id="rId6" w:type="even"/>
      <w:pgSz w:w="11906" w:h="16838"/>
      <w:pgMar w:top="1246" w:right="1418" w:bottom="1663" w:left="1588" w:header="851" w:footer="12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中等线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Style w:val="7"/>
        <w:rFonts w:hint="eastAsia" w:eastAsia="方正中等线简体"/>
        <w:spacing w:val="40"/>
        <w:sz w:val="28"/>
      </w:rPr>
      <w:t>一</w:t>
    </w:r>
    <w:r>
      <w:rPr>
        <w:spacing w:val="40"/>
        <w:sz w:val="28"/>
      </w:rPr>
      <w:fldChar w:fldCharType="begin"/>
    </w:r>
    <w:r>
      <w:rPr>
        <w:rStyle w:val="7"/>
        <w:spacing w:val="40"/>
        <w:sz w:val="28"/>
      </w:rPr>
      <w:instrText xml:space="preserve">PAGE  </w:instrText>
    </w:r>
    <w:r>
      <w:rPr>
        <w:spacing w:val="40"/>
        <w:sz w:val="28"/>
      </w:rPr>
      <w:fldChar w:fldCharType="separate"/>
    </w:r>
    <w:r>
      <w:rPr>
        <w:rStyle w:val="7"/>
        <w:spacing w:val="40"/>
        <w:sz w:val="28"/>
      </w:rPr>
      <w:t>4</w:t>
    </w:r>
    <w:r>
      <w:rPr>
        <w:spacing w:val="40"/>
        <w:sz w:val="28"/>
      </w:rPr>
      <w:fldChar w:fldCharType="end"/>
    </w:r>
    <w:r>
      <w:rPr>
        <w:rStyle w:val="7"/>
        <w:rFonts w:hint="eastAsia" w:eastAsia="方正中等线简体"/>
        <w:spacing w:val="40"/>
        <w:sz w:val="28"/>
      </w:rPr>
      <w:t>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jc w:val="right"/>
      <w:rPr>
        <w:rFonts w:hint="eastAsia"/>
      </w:rPr>
    </w:pPr>
    <w:r>
      <w:rPr>
        <w:rStyle w:val="7"/>
        <w:rFonts w:hint="eastAsia" w:eastAsia="方正中等线简体"/>
        <w:spacing w:val="40"/>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96140"/>
    <w:multiLevelType w:val="singleLevel"/>
    <w:tmpl w:val="077961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ZDExYTAwOWE2ZmRlZTAyZjkwZWUzM2E0MzU4Y2QifQ=="/>
  </w:docVars>
  <w:rsids>
    <w:rsidRoot w:val="6B51327B"/>
    <w:rsid w:val="37B57F0B"/>
    <w:rsid w:val="3B7FF895"/>
    <w:rsid w:val="6B51327B"/>
    <w:rsid w:val="6FB6E9A2"/>
    <w:rsid w:val="6FFE1529"/>
    <w:rsid w:val="75F3B5FB"/>
    <w:rsid w:val="C93396AE"/>
    <w:rsid w:val="E1FBF709"/>
    <w:rsid w:val="EBFBF497"/>
    <w:rsid w:val="FBEB79CD"/>
    <w:rsid w:val="FE7CD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7">
    <w:name w:val="page number"/>
    <w:qFormat/>
    <w:uiPriority w:val="0"/>
  </w:style>
  <w:style w:type="character" w:styleId="8">
    <w:name w:val="Hyperlink"/>
    <w:qFormat/>
    <w:uiPriority w:val="0"/>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44</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2024-03-14T01:31:00Z</dcterms:created>
  <dc:creator>叮当</dc:creator>
  <cp:lastModifiedBy>HUAWEI</cp:lastModifiedBy>
  <dcterms:modified xsi:type="dcterms:W3CDTF">2026-01-08T10:42:20Z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1A4E15A644D9453AAA04BCE59A77A916_11</vt:lpwstr>
  </property>
</Properties>
</file>