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5F30">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2BCEE36B">
      <w:pPr>
        <w:widowControl/>
        <w:shd w:val="clear" w:color="auto" w:fill="FFFFFF"/>
        <w:spacing w:line="60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lang w:eastAsia="zh-CN"/>
        </w:rPr>
        <w:t>讲者</w:t>
      </w:r>
      <w:r>
        <w:rPr>
          <w:rFonts w:hint="default" w:ascii="Times New Roman" w:hAnsi="Times New Roman" w:eastAsia="小标宋" w:cs="Times New Roman"/>
          <w:sz w:val="44"/>
          <w:szCs w:val="44"/>
        </w:rPr>
        <w:t>简介</w:t>
      </w:r>
    </w:p>
    <w:p w14:paraId="59B91C21">
      <w:pPr>
        <w:widowControl/>
        <w:shd w:val="clear" w:color="auto" w:fill="FFFFFF"/>
        <w:spacing w:line="600" w:lineRule="exact"/>
        <w:jc w:val="center"/>
        <w:rPr>
          <w:rFonts w:hint="default" w:ascii="Times New Roman" w:hAnsi="Times New Roman" w:eastAsia="小标宋" w:cs="Times New Roman"/>
          <w:sz w:val="44"/>
          <w:szCs w:val="44"/>
        </w:rPr>
      </w:pPr>
    </w:p>
    <w:p w14:paraId="56487415">
      <w:pPr>
        <w:widowControl/>
        <w:shd w:val="clear" w:color="auto" w:fill="FFFFFF"/>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一、Sandy Widjaja（黄菀薏）</w:t>
      </w:r>
    </w:p>
    <w:p w14:paraId="013647A5">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Sandy于2009年加入新加坡知识产权局（IPOS），目前担任聆讯与调解司（Hearings &amp; Mediation）听证官（首席助理注册官）和高级法律顾问。</w:t>
      </w:r>
    </w:p>
    <w:p w14:paraId="33E0D6B8">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在加入聆讯与调解司之前，Sandy曾在西澳大利亚州一政府部门工作两年，处理立法事务。在此之前，Sandy亦曾在IPOS的商标注册处任职，负责商标注册和马德里议定书的实施。</w:t>
      </w:r>
    </w:p>
    <w:p w14:paraId="662702AE">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Sandy曾在多个国际及国内研讨会和活动上发表演讲。她拥有新加坡国立大学法学学士学位（LLB）和西澳大利亚大学法学硕士学位（LLM）。</w:t>
      </w:r>
    </w:p>
    <w:p w14:paraId="741E7848">
      <w:pPr>
        <w:widowControl/>
        <w:shd w:val="clear" w:color="auto" w:fill="FFFFFF"/>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二、See Chern Yang（徐振洋）</w:t>
      </w:r>
    </w:p>
    <w:p w14:paraId="42F3C763">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徐振洋律师是新加坡德尊律师事务所资深争议解决律师，处理涉及商业事务、医疗及其他专业失职、婚姻家事等纠纷。他曾获亚太区《法律500强》（Legal500）推荐，并被《Benchmark Litigation》评为“争议解决之星”。</w:t>
      </w:r>
    </w:p>
    <w:p w14:paraId="31187F36">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徐律师为资深调解员，曾参加过哈佛法学院，哈佛谈判研究所（Harvard Negotiation Institute）及佩珀代因大学法学院，施特劳斯争议解决研究所（Straus Institute for Dispute Resolution, Pepperdine University School of Law）的高级调解培训，并获新加坡国际调解协会认证。他受新加坡国际调解协会认证调解员，并在多个组织委任调解员，包括新加坡国际调解中心、世界知识产权组织仲裁与调解中心（WIPO AMC）、上海、深圳及海南等多地商事调解中心等。</w:t>
      </w:r>
    </w:p>
    <w:p w14:paraId="4C664D48">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律师经常在国际和新加坡举办的争议解决及调解培训中发言和授课，撰写多篇调解与家庭法相关章节。2015年，他获新加坡国家法院颁发“杰出法院志愿者（律师）”奖。目前，他担任新加坡律师公会调解委员会兼外事委员会（中国部）主任。</w:t>
      </w:r>
    </w:p>
    <w:p w14:paraId="0391FACB">
      <w:pPr>
        <w:widowControl/>
        <w:shd w:val="clear" w:color="auto" w:fill="FFFFFF"/>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三、William Ong（王文辉）</w:t>
      </w:r>
    </w:p>
    <w:p w14:paraId="3F1048C2">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王文辉律师是Allen &amp; Gledhill律师事务所诉讼与争议解决部的联席主管，执业领域包括知识产权、国际仲裁、公司诉讼、银行诉讼以及公司重组。他在处理公司纠纷，如合资企业争议及股东与董事纠纷，以及银行诉讼、金融和证券相关争议方面经验丰富，经常处理涉及结构性产品、保证金交易、估值、担保及执行担保的争议。他尤其关注损害评估与估价方法，精通相关技术及法律事务，客户对此高度重视。</w:t>
      </w:r>
    </w:p>
    <w:p w14:paraId="267355BF">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律师亦处理许可、分销及特许经营纠纷，涉及多个行业，包括计算机软件、锅炉技术及医药产品等。他曾获《亚太法律500强》推荐，《2020年指南》称其“挖掘问题核心并提出友好且商业可行的解决方案的能力从未令客户失望”，《2019年指南》评价其“能够集中处理关键问题，制定战略性解决方案，并满腔热情地提供有力法律论证”。近期，他被《亚洲法律杂志》（ALB）评为2025年亚洲“顶尖诉讼律师30强”，并荣膺Benchmark Litigation 2025年亚太国际仲裁领域“诉讼之星”。</w:t>
      </w:r>
    </w:p>
    <w:p w14:paraId="0BB7AA54">
      <w:pPr>
        <w:widowControl/>
        <w:shd w:val="clear" w:color="auto" w:fill="FFFFFF"/>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王律师于2000年取得新加坡律师资格后加入本所，自2006年起担任合伙人。</w:t>
      </w:r>
    </w:p>
    <w:p w14:paraId="31D50D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82784"/>
    <w:rsid w:val="6E78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2026-04-17T01:41:00Z</dcterms:created>
  <dc:creator>DD</dc:creator>
  <cp:lastModifiedBy>DD</cp:lastModifiedBy>
  <dcterms:modified xsi:type="dcterms:W3CDTF">2026-04-17T01:42:10Z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38A435AAFCB849E99DA3950E4BA26285_11</vt:lpwstr>
  </property>
  <property fmtid="{D5CDD505-2E9C-101B-9397-08002B2CF9AE}" pid="4" name="KSOTemplateDocerSaveRecord">
    <vt:lpwstr>eyJoZGlkIjoiYWI2MDc4MjlkMzBmNGRlYjdhOWY3YTcxMjBjZjZhMWEiLCJ1c2VySWQiOiI5NzkxNzY4MzUifQ==</vt:lpwstr>
  </property>
</Properties>
</file>